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287BD4F5" w:rsidR="00067BED" w:rsidRPr="000C778D" w:rsidRDefault="0062462C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rtl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 w:bidi="he-IL"/>
        </w:rPr>
        <w:t>2</w:t>
      </w:r>
      <w:r w:rsidRPr="006975FC">
        <w:rPr>
          <w:rFonts w:ascii="Tahoma" w:hAnsi="Tahoma" w:cs="Tahoma"/>
          <w:bCs/>
          <w:iCs/>
          <w:color w:val="C00000"/>
          <w:sz w:val="32"/>
          <w:szCs w:val="36"/>
          <w:rtl/>
          <w:lang w:val="en-US" w:bidi="he-IL"/>
        </w:rPr>
        <w:t>4</w:t>
      </w:r>
      <w:proofErr w:type="spellStart"/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proofErr w:type="spellEnd"/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</w:t>
      </w:r>
      <w:proofErr w:type="gramStart"/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Proposal </w:t>
      </w:r>
      <w:r w:rsidR="00495B77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:</w:t>
      </w:r>
      <w:proofErr w:type="gramEnd"/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C00000"/>
          <w:sz w:val="32"/>
          <w:szCs w:val="32"/>
          <w:rtl/>
          <w:lang w:bidi="he-IL"/>
        </w:rPr>
        <w:t>2026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404234A8" w14:textId="73F4127C" w:rsidR="00C628BE" w:rsidRPr="00C628BE" w:rsidRDefault="00495B52" w:rsidP="00C628BE">
      <w:pPr>
        <w:rPr>
          <w:rFonts w:ascii="Tahoma" w:hAnsi="Tahoma" w:cs="Tahoma"/>
          <w:sz w:val="20"/>
          <w:szCs w:val="20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 w:rsidR="00C628BE">
        <w:rPr>
          <w:rFonts w:ascii="Tahoma" w:hAnsi="Tahoma" w:cs="Tahoma"/>
          <w:b/>
          <w:bCs/>
          <w:sz w:val="20"/>
          <w:szCs w:val="20"/>
          <w:lang w:val="en-US" w:eastAsia="zh-CN"/>
        </w:rPr>
        <w:t xml:space="preserve"> (except defense)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</w:t>
      </w:r>
      <w:r w:rsidR="00C628BE">
        <w:rPr>
          <w:rFonts w:ascii="Tahoma" w:hAnsi="Tahoma" w:cs="Tahoma"/>
          <w:sz w:val="20"/>
          <w:szCs w:val="20"/>
          <w:lang w:val="en-US"/>
        </w:rPr>
        <w:t>,</w:t>
      </w:r>
      <w:r>
        <w:rPr>
          <w:rFonts w:ascii="Tahoma" w:hAnsi="Tahoma" w:cs="Tahoma"/>
          <w:sz w:val="20"/>
          <w:szCs w:val="20"/>
          <w:lang w:val="en-US"/>
        </w:rPr>
        <w:t xml:space="preserve"> and benefits to both countries.</w:t>
      </w:r>
      <w:r w:rsidR="00C628BE">
        <w:rPr>
          <w:rFonts w:ascii="Tahoma" w:hAnsi="Tahoma" w:cs="Tahoma"/>
          <w:sz w:val="20"/>
          <w:szCs w:val="20"/>
          <w:lang w:val="en-US"/>
        </w:rPr>
        <w:t xml:space="preserve"> </w:t>
      </w:r>
      <w:r w:rsidR="00C628BE">
        <w:rPr>
          <w:rFonts w:ascii="Tahoma" w:hAnsi="Tahoma" w:cs="Tahoma"/>
          <w:sz w:val="20"/>
          <w:szCs w:val="20"/>
          <w:lang w:val="en-US"/>
        </w:rPr>
        <w:br/>
        <w:t xml:space="preserve">The program’s current focus sectors are the following: </w:t>
      </w:r>
    </w:p>
    <w:p w14:paraId="42BDCE7C" w14:textId="593D540B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Smart Technology (ICT, UAVs, </w:t>
      </w:r>
      <w:r w:rsidR="00EC1BA1" w:rsidRPr="0062462C">
        <w:rPr>
          <w:rFonts w:ascii="Tahoma" w:hAnsi="Tahoma" w:cs="Tahoma" w:hint="eastAsia"/>
          <w:color w:val="000000" w:themeColor="text1"/>
          <w:sz w:val="20"/>
          <w:szCs w:val="20"/>
          <w:lang w:val="en-US" w:eastAsia="zh-CN"/>
        </w:rPr>
        <w:t>IC</w:t>
      </w:r>
      <w:r w:rsidR="00EC1BA1"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 design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, etc.)</w:t>
      </w:r>
    </w:p>
    <w:p w14:paraId="06A7390D" w14:textId="13644409" w:rsidR="00DF1DA2" w:rsidRPr="0062462C" w:rsidRDefault="00E60ABB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 w:hint="eastAsia"/>
          <w:color w:val="000000" w:themeColor="text1"/>
          <w:sz w:val="20"/>
          <w:szCs w:val="20"/>
          <w:lang w:val="en-US" w:eastAsia="zh-CN"/>
        </w:rPr>
        <w:t>Advanced</w:t>
      </w:r>
      <w:r w:rsidR="00DF1DA2" w:rsidRPr="0062462C">
        <w:rPr>
          <w:rFonts w:ascii="Tahoma" w:hAnsi="Tahoma" w:cs="Tahoma" w:hint="eastAsia"/>
          <w:color w:val="000000" w:themeColor="text1"/>
          <w:sz w:val="20"/>
          <w:szCs w:val="20"/>
          <w:lang w:val="en-US"/>
        </w:rPr>
        <w:t xml:space="preserve"> Manufacturing (Robotics, etc.</w:t>
      </w:r>
      <w:r w:rsidR="00DF1DA2" w:rsidRPr="0062462C">
        <w:rPr>
          <w:rFonts w:ascii="Tahoma" w:hAnsi="Tahoma" w:cs="Tahoma" w:hint="eastAsia"/>
          <w:color w:val="000000" w:themeColor="text1"/>
          <w:sz w:val="20"/>
          <w:szCs w:val="20"/>
          <w:lang w:val="en-US"/>
        </w:rPr>
        <w:t>）</w:t>
      </w:r>
    </w:p>
    <w:p w14:paraId="58445E92" w14:textId="6F152292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Biotechnology (Digital Health, </w:t>
      </w:r>
      <w:r w:rsidR="0053502F"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High-End 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Medical Devices, etc.)</w:t>
      </w:r>
    </w:p>
    <w:p w14:paraId="51ECDF61" w14:textId="77777777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Green Energy and Circular Economy (Electric Vehicles, Renewable Energy, </w:t>
      </w:r>
      <w:proofErr w:type="spellStart"/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Climatech</w:t>
      </w:r>
      <w:proofErr w:type="spellEnd"/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, etc.)</w:t>
      </w:r>
    </w:p>
    <w:p w14:paraId="113BE346" w14:textId="77777777" w:rsidR="00762638" w:rsidRPr="0062462C" w:rsidRDefault="00DF1DA2" w:rsidP="00762638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Service Innovation (Artificial Intelligence and its Applications)</w:t>
      </w:r>
    </w:p>
    <w:p w14:paraId="496A0F6D" w14:textId="1D731A3D" w:rsidR="00C1403E" w:rsidRPr="0062462C" w:rsidRDefault="00762638" w:rsidP="00762638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Other sectors supported </w:t>
      </w:r>
      <w:r w:rsidR="00E1255D"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>by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 the Department of Industrial Technology, MOEA, Taiwan</w:t>
      </w:r>
    </w:p>
    <w:p w14:paraId="04DE9388" w14:textId="47DB813A" w:rsidR="008B5C72" w:rsidRPr="00904B47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</w:rPr>
      </w:pPr>
      <w:r w:rsidRPr="00DF1DA2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4FF909A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eastAsia="en-IN"/>
        </w:rPr>
      </w:pPr>
      <w:r w:rsidRPr="4FF909AE">
        <w:rPr>
          <w:rFonts w:ascii="Segoe UI" w:hAnsi="Segoe UI" w:cs="Segoe UI"/>
          <w:lang w:eastAsia="en-IN"/>
        </w:rPr>
        <w:t xml:space="preserve">Companies and projects from </w:t>
      </w:r>
      <w:r w:rsidR="00AA4E4A" w:rsidRPr="4FF909AE">
        <w:rPr>
          <w:rFonts w:ascii="Segoe UI" w:hAnsi="Segoe UI" w:cs="Segoe UI"/>
          <w:lang w:eastAsia="en-IN"/>
        </w:rPr>
        <w:t>all</w:t>
      </w:r>
      <w:r w:rsidR="006128F3" w:rsidRPr="4FF909AE">
        <w:rPr>
          <w:rFonts w:ascii="Segoe UI" w:hAnsi="Segoe UI" w:cs="Segoe UI"/>
          <w:lang w:eastAsia="en-IN"/>
        </w:rPr>
        <w:t xml:space="preserve"> </w:t>
      </w:r>
      <w:r w:rsidRPr="4FF909AE">
        <w:rPr>
          <w:rFonts w:ascii="Segoe UI" w:hAnsi="Segoe UI" w:cs="Segoe UI"/>
          <w:lang w:eastAsia="en-IN"/>
        </w:rPr>
        <w:t>technology fields</w:t>
      </w:r>
      <w:r w:rsidR="006128F3" w:rsidRPr="4FF909AE">
        <w:rPr>
          <w:rFonts w:ascii="Segoe UI" w:hAnsi="Segoe UI" w:cs="Segoe UI"/>
          <w:lang w:eastAsia="en-IN"/>
        </w:rPr>
        <w:t xml:space="preserve"> </w:t>
      </w:r>
      <w:r w:rsidR="00AA4E4A" w:rsidRPr="4FF909AE">
        <w:rPr>
          <w:rFonts w:ascii="Segoe UI" w:hAnsi="Segoe UI" w:cs="Segoe UI"/>
          <w:lang w:eastAsia="en-IN"/>
        </w:rPr>
        <w:t>are eligible to apply</w:t>
      </w:r>
      <w:r w:rsidRPr="4FF909AE">
        <w:rPr>
          <w:rFonts w:ascii="Segoe UI" w:hAnsi="Segoe UI" w:cs="Segoe UI"/>
          <w:lang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904B47" w:rsidRDefault="008B5C72" w:rsidP="0046315E">
      <w:pPr>
        <w:jc w:val="both"/>
        <w:rPr>
          <w:rFonts w:ascii="Segoe UI" w:hAnsi="Segoe UI" w:cs="Segoe UI"/>
          <w:sz w:val="8"/>
          <w:szCs w:val="8"/>
        </w:rPr>
      </w:pPr>
    </w:p>
    <w:p w14:paraId="0B1A1735" w14:textId="77777777" w:rsidR="008A7DCF" w:rsidRPr="00904B4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  <w:lang w:val="en-IN" w:eastAsia="en-IN"/>
        </w:rPr>
      </w:pPr>
      <w:r w:rsidRPr="00DF1DA2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94176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  <w:lang w:val="en-US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904B4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  <w:lang w:val="en-IN" w:eastAsia="en-IN"/>
        </w:rPr>
      </w:pPr>
      <w:r w:rsidRPr="00DF1DA2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312C70E" w14:textId="4D216555" w:rsidR="000034C5" w:rsidRPr="00915C8C" w:rsidRDefault="000034C5" w:rsidP="00915C8C">
      <w:pPr>
        <w:pStyle w:val="ListParagraph"/>
        <w:numPr>
          <w:ilvl w:val="0"/>
          <w:numId w:val="28"/>
        </w:numPr>
        <w:spacing w:after="120"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A self-funding project isn’t eligible to apply for this </w:t>
      </w:r>
      <w:r w:rsidR="00392388">
        <w:rPr>
          <w:rFonts w:asciiTheme="minorHAnsi" w:hAnsiTheme="minorHAnsi" w:cs="Segoe UI"/>
          <w:sz w:val="22"/>
          <w:szCs w:val="22"/>
          <w:lang w:val="en-GB" w:eastAsia="ja-JP"/>
        </w:rPr>
        <w:t xml:space="preserve">joint </w:t>
      </w: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program. 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rtl/>
          <w:lang w:val="en-GB" w:bidi="he-IL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14D1A0C4" w14:textId="7F15E755" w:rsidR="0021209C" w:rsidRPr="0046315E" w:rsidRDefault="005C07C2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  <w:r w:rsidRPr="005C07C2">
        <w:rPr>
          <w:rStyle w:val="Hyperlink"/>
          <w:rFonts w:asciiTheme="minorHAnsi" w:eastAsia="PMingLiU" w:hAnsiTheme="minorHAnsi" w:cs="Segoe UI"/>
          <w:sz w:val="22"/>
          <w:szCs w:val="22"/>
          <w:lang w:eastAsia="zh-TW"/>
        </w:rPr>
        <w:t>https://service.moea.gov.tw/EE514/tw/aiip/185.html</w:t>
      </w: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6EE610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r w:rsidR="001150AE">
        <w:t xml:space="preserve"> </w:t>
      </w:r>
      <w:hyperlink r:id="rId11" w:history="1">
        <w:r w:rsidR="001150AE" w:rsidRPr="001150AE">
          <w:rPr>
            <w:rStyle w:val="Hyperlink"/>
            <w:lang w:val="en-US"/>
          </w:rPr>
          <w:t>C</w:t>
        </w:r>
        <w:r w:rsidR="001150AE" w:rsidRPr="001150AE">
          <w:rPr>
            <w:rStyle w:val="Hyperlink"/>
            <w:lang w:val="en-US" w:bidi="he-IL"/>
          </w:rPr>
          <w:t>lick here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470A510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3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0AE3A4BA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 xml:space="preserve">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7506" w:type="dxa"/>
        <w:jc w:val="center"/>
        <w:tblLook w:val="04A0" w:firstRow="1" w:lastRow="0" w:firstColumn="1" w:lastColumn="0" w:noHBand="0" w:noVBand="1"/>
      </w:tblPr>
      <w:tblGrid>
        <w:gridCol w:w="2118"/>
        <w:gridCol w:w="2413"/>
        <w:gridCol w:w="2975"/>
      </w:tblGrid>
      <w:tr w:rsidR="00495B77" w:rsidRPr="00DB16F5" w14:paraId="719B4AEC" w14:textId="77777777" w:rsidTr="006975FC">
        <w:trPr>
          <w:jc w:val="center"/>
        </w:trPr>
        <w:tc>
          <w:tcPr>
            <w:tcW w:w="2118" w:type="dxa"/>
            <w:shd w:val="clear" w:color="auto" w:fill="C6D9F1" w:themeFill="text2" w:themeFillTint="33"/>
            <w:vAlign w:val="center"/>
          </w:tcPr>
          <w:p w14:paraId="1B407C2B" w14:textId="77777777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413" w:type="dxa"/>
            <w:shd w:val="clear" w:color="auto" w:fill="C6D9F1" w:themeFill="text2" w:themeFillTint="33"/>
          </w:tcPr>
          <w:p w14:paraId="05C21C50" w14:textId="5B526C69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Taiwan </w:t>
            </w:r>
          </w:p>
        </w:tc>
        <w:tc>
          <w:tcPr>
            <w:tcW w:w="2975" w:type="dxa"/>
            <w:shd w:val="clear" w:color="auto" w:fill="C6D9F1" w:themeFill="text2" w:themeFillTint="33"/>
            <w:vAlign w:val="center"/>
          </w:tcPr>
          <w:p w14:paraId="51C0EEF0" w14:textId="569B039C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Israel </w:t>
            </w:r>
          </w:p>
        </w:tc>
      </w:tr>
      <w:tr w:rsidR="001150AE" w:rsidRPr="00DB16F5" w14:paraId="1B488F41" w14:textId="77777777" w:rsidTr="006975FC">
        <w:trPr>
          <w:jc w:val="center"/>
        </w:trPr>
        <w:tc>
          <w:tcPr>
            <w:tcW w:w="2118" w:type="dxa"/>
            <w:vAlign w:val="center"/>
          </w:tcPr>
          <w:p w14:paraId="6D96227D" w14:textId="77777777" w:rsidR="001150AE" w:rsidRPr="007D5CB1" w:rsidRDefault="001150AE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413" w:type="dxa"/>
          </w:tcPr>
          <w:p w14:paraId="2F37C202" w14:textId="707AE6C4" w:rsidR="001150AE" w:rsidRDefault="00B26C00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C00000"/>
                <w:lang w:val="en-US" w:eastAsia="zh-CN" w:bidi="he-IL"/>
              </w:rPr>
              <w:t>May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  <w:t xml:space="preserve"> 12, 2026</w:t>
            </w:r>
          </w:p>
        </w:tc>
        <w:tc>
          <w:tcPr>
            <w:tcW w:w="2975" w:type="dxa"/>
          </w:tcPr>
          <w:p w14:paraId="67FE2118" w14:textId="5559D203" w:rsidR="001150AE" w:rsidRPr="009C37B1" w:rsidRDefault="001150AE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April 28, 2026</w:t>
            </w:r>
          </w:p>
        </w:tc>
      </w:tr>
      <w:tr w:rsidR="00B26C00" w:rsidRPr="00DB16F5" w14:paraId="207DC89B" w14:textId="52052D62" w:rsidTr="006975FC">
        <w:trPr>
          <w:jc w:val="center"/>
        </w:trPr>
        <w:tc>
          <w:tcPr>
            <w:tcW w:w="2118" w:type="dxa"/>
            <w:vAlign w:val="center"/>
          </w:tcPr>
          <w:p w14:paraId="49AC7BEA" w14:textId="701E7CB3" w:rsidR="00B26C00" w:rsidRPr="007D5CB1" w:rsidRDefault="00B26C00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388" w:type="dxa"/>
            <w:gridSpan w:val="2"/>
            <w:vAlign w:val="center"/>
          </w:tcPr>
          <w:p w14:paraId="2BAAF506" w14:textId="40DCBF3A" w:rsidR="00B26C00" w:rsidRPr="009C37B1" w:rsidRDefault="000F4423" w:rsidP="00B26C0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July</w:t>
            </w:r>
            <w:r w:rsidR="00B26C00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21, 2026</w:t>
            </w:r>
          </w:p>
        </w:tc>
      </w:tr>
      <w:tr w:rsidR="00495B77" w:rsidRPr="00DB16F5" w14:paraId="12DA6A26" w14:textId="77777777" w:rsidTr="006975FC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95B77" w:rsidRPr="007D5CB1" w:rsidRDefault="00495B77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3F" w14:textId="5AB3CEBF" w:rsidR="00495B77" w:rsidRPr="00A54BA0" w:rsidRDefault="001150AE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End of October 2026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rtl/>
          <w:lang w:eastAsia="zh-TW" w:bidi="he-IL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013A11B0" w14:textId="0E532FDC" w:rsidR="008C29B0" w:rsidRPr="008A57FE" w:rsidRDefault="00362CA8" w:rsidP="00915C8C">
      <w:pPr>
        <w:shd w:val="clear" w:color="auto" w:fill="DBE5F1" w:themeFill="accent1" w:themeFillTint="33"/>
        <w:suppressAutoHyphens/>
        <w:spacing w:line="276" w:lineRule="auto"/>
        <w:rPr>
          <w:rFonts w:ascii="Segoe UI" w:eastAsia="PMingLiU" w:hAnsi="Segoe UI" w:cs="Segoe UI"/>
          <w:sz w:val="14"/>
          <w:szCs w:val="14"/>
          <w:lang w:eastAsia="zh-TW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</w:p>
    <w:p w14:paraId="2BC53ED7" w14:textId="0D28D526" w:rsidR="00F9186B" w:rsidRPr="008A57FE" w:rsidRDefault="003B3A0B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w:lastRenderedPageBreak/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4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5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7DB499D2">
                <wp:extent cx="2348651" cy="1952319"/>
                <wp:effectExtent l="57150" t="38100" r="71120" b="8636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651" cy="19523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6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972E" id="Text Box 19" o:spid="_x0000_s1027" type="#_x0000_t202" style="width:184.9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7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A57FE" w:rsidSect="00C84B4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21" w:right="1418" w:bottom="1440" w:left="1531" w:header="709" w:footer="167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CA4" w14:textId="77777777" w:rsidR="003D2701" w:rsidRDefault="003D2701">
      <w:r>
        <w:separator/>
      </w:r>
    </w:p>
  </w:endnote>
  <w:endnote w:type="continuationSeparator" w:id="0">
    <w:p w14:paraId="7DEC5BD8" w14:textId="77777777" w:rsidR="003D2701" w:rsidRDefault="003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ADB3" w14:textId="71D3A743" w:rsidR="00744908" w:rsidRDefault="00F05CF9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6CABFF91">
          <wp:simplePos x="0" y="0"/>
          <wp:positionH relativeFrom="column">
            <wp:posOffset>-391160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D92">
      <w:rPr>
        <w:noProof/>
      </w:rPr>
      <w:drawing>
        <wp:anchor distT="0" distB="0" distL="114300" distR="114300" simplePos="0" relativeHeight="251663360" behindDoc="0" locked="0" layoutInCell="1" allowOverlap="1" wp14:anchorId="63DFEF1F" wp14:editId="25504CD9">
          <wp:simplePos x="0" y="0"/>
          <wp:positionH relativeFrom="margin">
            <wp:posOffset>4066540</wp:posOffset>
          </wp:positionH>
          <wp:positionV relativeFrom="paragraph">
            <wp:posOffset>236855</wp:posOffset>
          </wp:positionV>
          <wp:extent cx="2132965" cy="466090"/>
          <wp:effectExtent l="0" t="0" r="635" b="0"/>
          <wp:wrapTopAndBottom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4384" behindDoc="0" locked="0" layoutInCell="1" allowOverlap="1" wp14:anchorId="7ED583DB" wp14:editId="62955B21">
          <wp:simplePos x="0" y="0"/>
          <wp:positionH relativeFrom="column">
            <wp:posOffset>1913890</wp:posOffset>
          </wp:positionH>
          <wp:positionV relativeFrom="paragraph">
            <wp:posOffset>294005</wp:posOffset>
          </wp:positionV>
          <wp:extent cx="1809115" cy="419100"/>
          <wp:effectExtent l="0" t="0" r="635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ri_CEL_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B714" w14:textId="77777777" w:rsidR="003D2701" w:rsidRDefault="003D2701">
      <w:r>
        <w:separator/>
      </w:r>
    </w:p>
  </w:footnote>
  <w:footnote w:type="continuationSeparator" w:id="0">
    <w:p w14:paraId="6387D03D" w14:textId="77777777" w:rsidR="003D2701" w:rsidRDefault="003D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0A943BF7">
            <v:rect id="Rectangle 14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243f60 [1604]" strokeweight="2pt" w14:anchorId="3101E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124E"/>
    <w:multiLevelType w:val="hybridMultilevel"/>
    <w:tmpl w:val="C2EC5630"/>
    <w:lvl w:ilvl="0" w:tplc="8E607F22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2F4809DF"/>
    <w:multiLevelType w:val="multilevel"/>
    <w:tmpl w:val="B650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9716E"/>
    <w:multiLevelType w:val="hybridMultilevel"/>
    <w:tmpl w:val="D4D21060"/>
    <w:lvl w:ilvl="0" w:tplc="C96825F0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5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1515">
    <w:abstractNumId w:val="14"/>
  </w:num>
  <w:num w:numId="2" w16cid:durableId="8064555">
    <w:abstractNumId w:val="3"/>
  </w:num>
  <w:num w:numId="3" w16cid:durableId="1473137970">
    <w:abstractNumId w:val="11"/>
  </w:num>
  <w:num w:numId="4" w16cid:durableId="839006236">
    <w:abstractNumId w:val="6"/>
  </w:num>
  <w:num w:numId="5" w16cid:durableId="1260069370">
    <w:abstractNumId w:val="12"/>
  </w:num>
  <w:num w:numId="6" w16cid:durableId="531114445">
    <w:abstractNumId w:val="0"/>
  </w:num>
  <w:num w:numId="7" w16cid:durableId="1485507385">
    <w:abstractNumId w:val="13"/>
  </w:num>
  <w:num w:numId="8" w16cid:durableId="462846921">
    <w:abstractNumId w:val="22"/>
  </w:num>
  <w:num w:numId="9" w16cid:durableId="1579166571">
    <w:abstractNumId w:val="21"/>
  </w:num>
  <w:num w:numId="10" w16cid:durableId="1341008431">
    <w:abstractNumId w:val="10"/>
  </w:num>
  <w:num w:numId="11" w16cid:durableId="279260590">
    <w:abstractNumId w:val="15"/>
  </w:num>
  <w:num w:numId="12" w16cid:durableId="1307781236">
    <w:abstractNumId w:val="5"/>
  </w:num>
  <w:num w:numId="13" w16cid:durableId="934478245">
    <w:abstractNumId w:val="24"/>
  </w:num>
  <w:num w:numId="14" w16cid:durableId="1149709133">
    <w:abstractNumId w:val="27"/>
  </w:num>
  <w:num w:numId="15" w16cid:durableId="1045836307">
    <w:abstractNumId w:val="4"/>
  </w:num>
  <w:num w:numId="16" w16cid:durableId="1989088778">
    <w:abstractNumId w:val="19"/>
  </w:num>
  <w:num w:numId="17" w16cid:durableId="112291339">
    <w:abstractNumId w:val="23"/>
  </w:num>
  <w:num w:numId="18" w16cid:durableId="331378784">
    <w:abstractNumId w:val="28"/>
  </w:num>
  <w:num w:numId="19" w16cid:durableId="1269000586">
    <w:abstractNumId w:val="1"/>
  </w:num>
  <w:num w:numId="20" w16cid:durableId="1823428644">
    <w:abstractNumId w:val="26"/>
  </w:num>
  <w:num w:numId="21" w16cid:durableId="2125272933">
    <w:abstractNumId w:val="17"/>
  </w:num>
  <w:num w:numId="22" w16cid:durableId="184634774">
    <w:abstractNumId w:val="16"/>
  </w:num>
  <w:num w:numId="23" w16cid:durableId="999112084">
    <w:abstractNumId w:val="18"/>
  </w:num>
  <w:num w:numId="24" w16cid:durableId="2145585772">
    <w:abstractNumId w:val="7"/>
  </w:num>
  <w:num w:numId="25" w16cid:durableId="699553638">
    <w:abstractNumId w:val="25"/>
  </w:num>
  <w:num w:numId="26" w16cid:durableId="915672403">
    <w:abstractNumId w:val="20"/>
  </w:num>
  <w:num w:numId="27" w16cid:durableId="924849147">
    <w:abstractNumId w:val="9"/>
  </w:num>
  <w:num w:numId="28" w16cid:durableId="1399934502">
    <w:abstractNumId w:val="2"/>
  </w:num>
  <w:num w:numId="29" w16cid:durableId="1472166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4C5"/>
    <w:rsid w:val="000037A6"/>
    <w:rsid w:val="00003D28"/>
    <w:rsid w:val="0000454F"/>
    <w:rsid w:val="00005A72"/>
    <w:rsid w:val="00005D24"/>
    <w:rsid w:val="00006136"/>
    <w:rsid w:val="0000690E"/>
    <w:rsid w:val="00007C0F"/>
    <w:rsid w:val="000104B9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6F9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3E8"/>
    <w:rsid w:val="000F35D7"/>
    <w:rsid w:val="000F417A"/>
    <w:rsid w:val="000F4423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0AE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851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787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388"/>
    <w:rsid w:val="00392B3F"/>
    <w:rsid w:val="00392C5D"/>
    <w:rsid w:val="00392DF8"/>
    <w:rsid w:val="00394CD6"/>
    <w:rsid w:val="003953C5"/>
    <w:rsid w:val="003954A9"/>
    <w:rsid w:val="0039601B"/>
    <w:rsid w:val="003962C7"/>
    <w:rsid w:val="003964AD"/>
    <w:rsid w:val="00396ED5"/>
    <w:rsid w:val="003A0521"/>
    <w:rsid w:val="003A0FE8"/>
    <w:rsid w:val="003A2189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1993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2701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57C51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4176"/>
    <w:rsid w:val="00495008"/>
    <w:rsid w:val="00495230"/>
    <w:rsid w:val="004959E5"/>
    <w:rsid w:val="00495B52"/>
    <w:rsid w:val="00495B77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2CC7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3502F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4D92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07C2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62C"/>
    <w:rsid w:val="00624C88"/>
    <w:rsid w:val="006250A6"/>
    <w:rsid w:val="00625B1D"/>
    <w:rsid w:val="00625BE7"/>
    <w:rsid w:val="00626B03"/>
    <w:rsid w:val="00626B1D"/>
    <w:rsid w:val="00626DF5"/>
    <w:rsid w:val="00626F06"/>
    <w:rsid w:val="00626FA5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798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6F7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975FC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8BB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569"/>
    <w:rsid w:val="007617C3"/>
    <w:rsid w:val="00762431"/>
    <w:rsid w:val="0076263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738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91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702"/>
    <w:rsid w:val="007F5AB3"/>
    <w:rsid w:val="007F6201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07BDF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5366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5EBE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4B47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5C8C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2098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0ED"/>
    <w:rsid w:val="009A6B60"/>
    <w:rsid w:val="009A6B84"/>
    <w:rsid w:val="009A6E55"/>
    <w:rsid w:val="009B07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087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B80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2D68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1AED"/>
    <w:rsid w:val="00A721E5"/>
    <w:rsid w:val="00A728FB"/>
    <w:rsid w:val="00A7502D"/>
    <w:rsid w:val="00A75322"/>
    <w:rsid w:val="00A756D5"/>
    <w:rsid w:val="00A77243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6D3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02A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1383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1ABE"/>
    <w:rsid w:val="00B12152"/>
    <w:rsid w:val="00B12241"/>
    <w:rsid w:val="00B169F5"/>
    <w:rsid w:val="00B16C9F"/>
    <w:rsid w:val="00B16FFA"/>
    <w:rsid w:val="00B17F95"/>
    <w:rsid w:val="00B20FB3"/>
    <w:rsid w:val="00B21C5F"/>
    <w:rsid w:val="00B2332D"/>
    <w:rsid w:val="00B2491B"/>
    <w:rsid w:val="00B254D1"/>
    <w:rsid w:val="00B25AD9"/>
    <w:rsid w:val="00B26C00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6B2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086"/>
    <w:rsid w:val="00C52BEF"/>
    <w:rsid w:val="00C53794"/>
    <w:rsid w:val="00C54A52"/>
    <w:rsid w:val="00C54ADA"/>
    <w:rsid w:val="00C56163"/>
    <w:rsid w:val="00C56173"/>
    <w:rsid w:val="00C562BE"/>
    <w:rsid w:val="00C60242"/>
    <w:rsid w:val="00C60B87"/>
    <w:rsid w:val="00C615AC"/>
    <w:rsid w:val="00C628BE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4B42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4A1C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65E3A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DA2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255D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0ABB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5AE4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1BA1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CF9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17C9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  <w:rsid w:val="4FF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novationisrael.org.il/programs/%d7%9e%d7%a1%d7%9c%d7%95%d7%9c-%d7%a7%d7%a8%d7%9f-%d7%a9%d7%aa%d7%a4-%d7%91%d7%99%d7%a0%d7%9c%d7%90%d7%95%d7%9e%d7%99-%d7%9c%d7%9e%d7%95%d7%a4-%d7%95%d7%9c%d7%a4%d7%99%d7%99%d7%9c%d7%95%d7%98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y.innovationisrael.org.il/company" TargetMode="External"/><Relationship Id="rId17" Type="http://schemas.openxmlformats.org/officeDocument/2006/relationships/hyperlink" Target="mailto:XiaoHu@itri.org.t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iaoHu@itri.org.t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ionisrael.org.il/programs/%d7%9e%d7%a1%d7%9c%d7%95%d7%9c-%d7%a7%d7%a8%d7%9f-%d7%a9%d7%aa%d7%a4-%d7%91%d7%99%d7%a0%d7%9c%d7%90%d7%95%d7%9e%d7%99-%d7%9c%d7%9e%d7%95%d7%a4-%d7%95%d7%9c%d7%a4%d7%99%d7%99%d7%9c%d7%95%d7%98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rowth@innovationisrael.org.i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owth@innovationisrael.org.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E2B34-2051-430E-951A-63BC5FDAD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22C85-4244-494B-BD5E-7481DCE37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04274-A805-4620-9BA8-255DF6B44909}">
  <ds:schemaRefs>
    <ds:schemaRef ds:uri="http://schemas.microsoft.com/office/2006/metadata/properties"/>
    <ds:schemaRef ds:uri="http://schemas.microsoft.com/office/infopath/2007/PartnerControls"/>
    <ds:schemaRef ds:uri="ca567584-2bdd-45c7-bbb2-f215813a922a"/>
    <ds:schemaRef ds:uri="f6d1b2ca-b570-4aa3-bce8-ed59f7a50f09"/>
  </ds:schemaRefs>
</ds:datastoreItem>
</file>

<file path=customXml/itemProps4.xml><?xml version="1.0" encoding="utf-8"?>
<ds:datastoreItem xmlns:ds="http://schemas.openxmlformats.org/officeDocument/2006/customXml" ds:itemID="{280D5404-00C7-43DE-B4F7-E7B74FEFC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Tal Ben Avner</cp:lastModifiedBy>
  <cp:revision>2</cp:revision>
  <dcterms:created xsi:type="dcterms:W3CDTF">2026-04-27T08:29:00Z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  <property fmtid="{D5CDD505-2E9C-101B-9397-08002B2CF9AE}" pid="3" name="ContentTypeId">
    <vt:lpwstr>0x0101008C76471627CCFE4BA26BED6AE4B680C3</vt:lpwstr>
  </property>
  <property fmtid="{D5CDD505-2E9C-101B-9397-08002B2CF9AE}" pid="4" name="Order">
    <vt:r8>1125200</vt:r8>
  </property>
  <property fmtid="{D5CDD505-2E9C-101B-9397-08002B2CF9AE}" pid="5" name="MediaServiceImageTags">
    <vt:lpwstr/>
  </property>
</Properties>
</file>